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BA6AD2">
        <w:rPr>
          <w:rFonts w:ascii="Times New Roman" w:hAnsi="Times New Roman"/>
          <w:sz w:val="24"/>
          <w:szCs w:val="24"/>
        </w:rPr>
        <w:t>г</w:t>
      </w:r>
      <w:r w:rsidR="003D6044">
        <w:rPr>
          <w:rFonts w:ascii="Times New Roman" w:hAnsi="Times New Roman"/>
          <w:sz w:val="24"/>
          <w:szCs w:val="24"/>
        </w:rPr>
        <w:t xml:space="preserve">лавного врача </w:t>
      </w:r>
      <w:proofErr w:type="spellStart"/>
      <w:r w:rsidR="00BA6AD2">
        <w:rPr>
          <w:rFonts w:ascii="Times New Roman" w:hAnsi="Times New Roman"/>
          <w:sz w:val="24"/>
          <w:szCs w:val="24"/>
        </w:rPr>
        <w:t>Гейдешмана</w:t>
      </w:r>
      <w:proofErr w:type="spellEnd"/>
      <w:r w:rsidR="00BA6AD2">
        <w:rPr>
          <w:rFonts w:ascii="Times New Roman" w:hAnsi="Times New Roman"/>
          <w:sz w:val="24"/>
          <w:szCs w:val="24"/>
        </w:rPr>
        <w:t xml:space="preserve"> Евгения Семеновича</w:t>
      </w:r>
      <w:r w:rsidR="003D6044" w:rsidRPr="00DE0826">
        <w:rPr>
          <w:rFonts w:ascii="Times New Roman" w:hAnsi="Times New Roman"/>
          <w:sz w:val="24"/>
          <w:szCs w:val="24"/>
        </w:rPr>
        <w:t xml:space="preserve">, действующего на основании </w:t>
      </w:r>
      <w:r w:rsidR="00BA6AD2">
        <w:rPr>
          <w:rFonts w:ascii="Times New Roman" w:hAnsi="Times New Roman"/>
          <w:sz w:val="24"/>
          <w:szCs w:val="24"/>
        </w:rPr>
        <w:t>Устава</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w:t>
      </w:r>
      <w:r w:rsidR="007D332A">
        <w:rPr>
          <w:rFonts w:ascii="Times New Roman" w:hAnsi="Times New Roman"/>
          <w:sz w:val="24"/>
          <w:szCs w:val="24"/>
        </w:rPr>
        <w:t>60</w:t>
      </w:r>
      <w:r w:rsidRPr="0059407B">
        <w:rPr>
          <w:rFonts w:ascii="Times New Roman" w:hAnsi="Times New Roman"/>
          <w:sz w:val="24"/>
          <w:szCs w:val="24"/>
        </w:rPr>
        <w:t xml:space="preserve">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lastRenderedPageBreak/>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1948B9">
        <w:rPr>
          <w:rFonts w:ascii="Times New Roman" w:hAnsi="Times New Roman" w:cs="Times New Roman"/>
          <w:sz w:val="24"/>
          <w:szCs w:val="24"/>
        </w:rPr>
        <w:t>______________</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lastRenderedPageBreak/>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6E30C1">
        <w:rPr>
          <w:sz w:val="24"/>
          <w:szCs w:val="24"/>
        </w:rPr>
        <w:t>8</w:t>
      </w:r>
      <w:r w:rsidR="00C21EF1">
        <w:rPr>
          <w:sz w:val="24"/>
          <w:szCs w:val="24"/>
        </w:rPr>
        <w:t>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w:t>
      </w:r>
      <w:r w:rsidRPr="00F70634">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14.1 Настоящий Договор вступает в силу с момента его заключения и действует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F70634">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F70634">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A6AD2"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B7077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B70777">
              <w:rPr>
                <w:rFonts w:ascii="Times New Roman" w:hAnsi="Times New Roman" w:cs="Times New Roman"/>
                <w:b/>
                <w:bCs/>
                <w:spacing w:val="0"/>
                <w:sz w:val="24"/>
                <w:szCs w:val="24"/>
              </w:rPr>
              <w:t xml:space="preserve"> врач</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r>
              <w:rPr>
                <w:rFonts w:ascii="Times New Roman" w:hAnsi="Times New Roman" w:cs="Times New Roman"/>
                <w:b/>
                <w:bCs/>
                <w:spacing w:val="0"/>
                <w:sz w:val="24"/>
                <w:szCs w:val="24"/>
              </w:rPr>
              <w:t>______________________</w:t>
            </w:r>
            <w:r w:rsidR="00BA6AD2">
              <w:rPr>
                <w:rFonts w:ascii="Times New Roman" w:hAnsi="Times New Roman" w:cs="Times New Roman"/>
                <w:b/>
                <w:bCs/>
                <w:spacing w:val="0"/>
                <w:sz w:val="24"/>
                <w:szCs w:val="24"/>
              </w:rPr>
              <w:t>Е.С. Гейдешман</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27273"/>
    <w:rsid w:val="000511C8"/>
    <w:rsid w:val="00065039"/>
    <w:rsid w:val="00105DA2"/>
    <w:rsid w:val="001948B9"/>
    <w:rsid w:val="001C0C4F"/>
    <w:rsid w:val="00210F44"/>
    <w:rsid w:val="0024437B"/>
    <w:rsid w:val="002D5672"/>
    <w:rsid w:val="00364084"/>
    <w:rsid w:val="00397FA9"/>
    <w:rsid w:val="003D6044"/>
    <w:rsid w:val="00416C60"/>
    <w:rsid w:val="00454BEF"/>
    <w:rsid w:val="00460F8F"/>
    <w:rsid w:val="0047295B"/>
    <w:rsid w:val="004E08F3"/>
    <w:rsid w:val="0052004F"/>
    <w:rsid w:val="0059407B"/>
    <w:rsid w:val="006E30C1"/>
    <w:rsid w:val="007346B7"/>
    <w:rsid w:val="007755FA"/>
    <w:rsid w:val="007C424B"/>
    <w:rsid w:val="007D332A"/>
    <w:rsid w:val="008836E6"/>
    <w:rsid w:val="008C5582"/>
    <w:rsid w:val="008F1A6F"/>
    <w:rsid w:val="009A6ED1"/>
    <w:rsid w:val="009B5741"/>
    <w:rsid w:val="00A53AF0"/>
    <w:rsid w:val="00B31F98"/>
    <w:rsid w:val="00B406E5"/>
    <w:rsid w:val="00B70777"/>
    <w:rsid w:val="00B730D7"/>
    <w:rsid w:val="00B90731"/>
    <w:rsid w:val="00BA6AD2"/>
    <w:rsid w:val="00BD5936"/>
    <w:rsid w:val="00C21EF1"/>
    <w:rsid w:val="00CC5A0A"/>
    <w:rsid w:val="00CD1587"/>
    <w:rsid w:val="00CD7295"/>
    <w:rsid w:val="00CE551D"/>
    <w:rsid w:val="00D44F80"/>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2022-03-04T07:39:00Z</dcterms:created>
  <dcterms:modified xsi:type="dcterms:W3CDTF">2022-08-30T11:23:00Z</dcterms:modified>
</cp:coreProperties>
</file>